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78F18F" w14:textId="77777777" w:rsidR="001D1DC3" w:rsidRDefault="001D1DC3" w:rsidP="001D1DC3">
      <w:pPr>
        <w:pStyle w:val="Default"/>
      </w:pPr>
    </w:p>
    <w:p w14:paraId="28D7D0E5" w14:textId="52BC2915" w:rsidR="001D1DC3" w:rsidRDefault="001D1DC3" w:rsidP="001D1DC3">
      <w:pPr>
        <w:pStyle w:val="Default"/>
        <w:rPr>
          <w:sz w:val="16"/>
          <w:szCs w:val="16"/>
        </w:rPr>
      </w:pPr>
      <w:r>
        <w:t xml:space="preserve"> </w:t>
      </w:r>
      <w:r>
        <w:rPr>
          <w:b/>
          <w:bCs/>
          <w:sz w:val="32"/>
          <w:szCs w:val="32"/>
        </w:rPr>
        <w:t xml:space="preserve">SAFETY DATA SHEET </w:t>
      </w:r>
    </w:p>
    <w:p w14:paraId="7A75A1C7" w14:textId="77777777" w:rsidR="001D1DC3" w:rsidRDefault="001D1DC3" w:rsidP="001D1DC3">
      <w:pPr>
        <w:pStyle w:val="Default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b/>
          <w:bCs/>
          <w:sz w:val="20"/>
          <w:szCs w:val="20"/>
        </w:rPr>
        <w:t xml:space="preserve">1. IDENTIFICATION OF THE SUBSTANCE/ </w:t>
      </w:r>
      <w:proofErr w:type="spellStart"/>
      <w:r>
        <w:rPr>
          <w:rFonts w:ascii="Century Gothic" w:hAnsi="Century Gothic" w:cs="Century Gothic"/>
          <w:b/>
          <w:bCs/>
          <w:sz w:val="20"/>
          <w:szCs w:val="20"/>
        </w:rPr>
        <w:t>PEREPARATION</w:t>
      </w:r>
      <w:proofErr w:type="spellEnd"/>
      <w:r>
        <w:rPr>
          <w:rFonts w:ascii="Century Gothic" w:hAnsi="Century Gothic" w:cs="Century Gothic"/>
          <w:b/>
          <w:bCs/>
          <w:sz w:val="20"/>
          <w:szCs w:val="20"/>
        </w:rPr>
        <w:t xml:space="preserve"> AND OF THE COMPANY / UNDERTAKING </w:t>
      </w:r>
    </w:p>
    <w:p w14:paraId="64BD6E4B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b/>
          <w:bCs/>
          <w:sz w:val="16"/>
          <w:szCs w:val="16"/>
        </w:rPr>
        <w:t xml:space="preserve">Product Name Red Rouge Polishing Compound </w:t>
      </w:r>
    </w:p>
    <w:p w14:paraId="0DD23826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b/>
          <w:bCs/>
          <w:sz w:val="16"/>
          <w:szCs w:val="16"/>
        </w:rPr>
        <w:t xml:space="preserve">Recommended use of the chemical and restriction on use </w:t>
      </w:r>
    </w:p>
    <w:p w14:paraId="54C0AF58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b/>
          <w:bCs/>
          <w:sz w:val="16"/>
          <w:szCs w:val="16"/>
        </w:rPr>
        <w:t xml:space="preserve">Recommended Use </w:t>
      </w:r>
      <w:r>
        <w:rPr>
          <w:rFonts w:ascii="Century Gothic" w:hAnsi="Century Gothic" w:cs="Century Gothic"/>
          <w:sz w:val="16"/>
          <w:szCs w:val="16"/>
        </w:rPr>
        <w:t xml:space="preserve">Abrasive/ Buffing Compound </w:t>
      </w:r>
    </w:p>
    <w:p w14:paraId="2E7662BE" w14:textId="77777777" w:rsidR="001D1DC3" w:rsidRDefault="001D1DC3" w:rsidP="001D1DC3">
      <w:pPr>
        <w:pStyle w:val="Default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b/>
          <w:bCs/>
          <w:sz w:val="20"/>
          <w:szCs w:val="20"/>
        </w:rPr>
        <w:t xml:space="preserve">2. HAZARDS IDENTIFICATION </w:t>
      </w:r>
    </w:p>
    <w:p w14:paraId="19FD33B8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b/>
          <w:bCs/>
          <w:sz w:val="16"/>
          <w:szCs w:val="16"/>
        </w:rPr>
        <w:t xml:space="preserve">Classification </w:t>
      </w:r>
    </w:p>
    <w:p w14:paraId="21B5DDF5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This item is not considered hazardous by the 2012 OSHA Hazard Communication Standard (29 CFR 1910.1200) </w:t>
      </w:r>
    </w:p>
    <w:p w14:paraId="5910B7C0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>This product is a pre-</w:t>
      </w:r>
      <w:proofErr w:type="spellStart"/>
      <w:r>
        <w:rPr>
          <w:rFonts w:ascii="Century Gothic" w:hAnsi="Century Gothic" w:cs="Century Gothic"/>
          <w:sz w:val="16"/>
          <w:szCs w:val="16"/>
        </w:rPr>
        <w:t>molded</w:t>
      </w:r>
      <w:proofErr w:type="spellEnd"/>
      <w:r>
        <w:rPr>
          <w:rFonts w:ascii="Century Gothic" w:hAnsi="Century Gothic" w:cs="Century Gothic"/>
          <w:sz w:val="16"/>
          <w:szCs w:val="16"/>
        </w:rPr>
        <w:t xml:space="preserve"> cake form Red with a tallow </w:t>
      </w:r>
      <w:proofErr w:type="spellStart"/>
      <w:r>
        <w:rPr>
          <w:rFonts w:ascii="Century Gothic" w:hAnsi="Century Gothic" w:cs="Century Gothic"/>
          <w:sz w:val="16"/>
          <w:szCs w:val="16"/>
        </w:rPr>
        <w:t>odor</w:t>
      </w:r>
      <w:proofErr w:type="spellEnd"/>
      <w:r>
        <w:rPr>
          <w:rFonts w:ascii="Century Gothic" w:hAnsi="Century Gothic" w:cs="Century Gothic"/>
          <w:sz w:val="16"/>
          <w:szCs w:val="16"/>
        </w:rPr>
        <w:t xml:space="preserve"> </w:t>
      </w:r>
    </w:p>
    <w:p w14:paraId="71661FFB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b/>
          <w:bCs/>
          <w:sz w:val="16"/>
          <w:szCs w:val="16"/>
        </w:rPr>
        <w:t xml:space="preserve">GHS Label elements, including precautionary statement </w:t>
      </w:r>
    </w:p>
    <w:p w14:paraId="75E5DB37" w14:textId="77777777" w:rsidR="001D1DC3" w:rsidRDefault="001D1DC3" w:rsidP="001D1DC3">
      <w:pPr>
        <w:pStyle w:val="Default"/>
        <w:rPr>
          <w:sz w:val="16"/>
          <w:szCs w:val="16"/>
        </w:rPr>
      </w:pPr>
      <w:r>
        <w:rPr>
          <w:rFonts w:ascii="Century Gothic" w:hAnsi="Century Gothic" w:cs="Century Gothic"/>
          <w:b/>
          <w:bCs/>
          <w:sz w:val="16"/>
          <w:szCs w:val="16"/>
        </w:rPr>
        <w:t xml:space="preserve">EMERGENCY OVERVIEW </w:t>
      </w:r>
    </w:p>
    <w:p w14:paraId="0E17B0B7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b/>
          <w:bCs/>
          <w:sz w:val="16"/>
          <w:szCs w:val="16"/>
        </w:rPr>
        <w:t xml:space="preserve">Signal Word </w:t>
      </w:r>
      <w:r>
        <w:rPr>
          <w:rFonts w:ascii="Century Gothic" w:hAnsi="Century Gothic" w:cs="Century Gothic"/>
          <w:sz w:val="16"/>
          <w:szCs w:val="16"/>
        </w:rPr>
        <w:t xml:space="preserve">None </w:t>
      </w:r>
    </w:p>
    <w:p w14:paraId="3DE306F7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b/>
          <w:bCs/>
          <w:sz w:val="16"/>
          <w:szCs w:val="16"/>
        </w:rPr>
        <w:t xml:space="preserve">Hazard Statement </w:t>
      </w:r>
      <w:r>
        <w:rPr>
          <w:rFonts w:ascii="Century Gothic" w:hAnsi="Century Gothic" w:cs="Century Gothic"/>
          <w:sz w:val="16"/>
          <w:szCs w:val="16"/>
        </w:rPr>
        <w:t xml:space="preserve">None </w:t>
      </w:r>
    </w:p>
    <w:p w14:paraId="498F0B32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The products/products contain no substances which at their given concentration </w:t>
      </w:r>
      <w:proofErr w:type="gramStart"/>
      <w:r>
        <w:rPr>
          <w:rFonts w:ascii="Century Gothic" w:hAnsi="Century Gothic" w:cs="Century Gothic"/>
          <w:sz w:val="16"/>
          <w:szCs w:val="16"/>
        </w:rPr>
        <w:t>are considered to be</w:t>
      </w:r>
      <w:proofErr w:type="gramEnd"/>
      <w:r>
        <w:rPr>
          <w:rFonts w:ascii="Century Gothic" w:hAnsi="Century Gothic" w:cs="Century Gothic"/>
          <w:sz w:val="16"/>
          <w:szCs w:val="16"/>
        </w:rPr>
        <w:t xml:space="preserve"> hazardous to health. </w:t>
      </w:r>
    </w:p>
    <w:p w14:paraId="0FAD525C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b/>
          <w:bCs/>
          <w:sz w:val="16"/>
          <w:szCs w:val="16"/>
        </w:rPr>
        <w:t xml:space="preserve">Appearance: </w:t>
      </w:r>
      <w:proofErr w:type="spellStart"/>
      <w:r>
        <w:rPr>
          <w:rFonts w:ascii="Century Gothic" w:hAnsi="Century Gothic" w:cs="Century Gothic"/>
          <w:sz w:val="16"/>
          <w:szCs w:val="16"/>
        </w:rPr>
        <w:t>Premolded</w:t>
      </w:r>
      <w:proofErr w:type="spellEnd"/>
      <w:r>
        <w:rPr>
          <w:rFonts w:ascii="Century Gothic" w:hAnsi="Century Gothic" w:cs="Century Gothic"/>
          <w:sz w:val="16"/>
          <w:szCs w:val="16"/>
        </w:rPr>
        <w:t xml:space="preserve"> Cake Form </w:t>
      </w:r>
      <w:r>
        <w:rPr>
          <w:rFonts w:ascii="Century Gothic" w:hAnsi="Century Gothic" w:cs="Century Gothic"/>
          <w:b/>
          <w:bCs/>
          <w:sz w:val="16"/>
          <w:szCs w:val="16"/>
        </w:rPr>
        <w:t xml:space="preserve">Physical State: </w:t>
      </w:r>
      <w:r>
        <w:rPr>
          <w:rFonts w:ascii="Century Gothic" w:hAnsi="Century Gothic" w:cs="Century Gothic"/>
          <w:sz w:val="16"/>
          <w:szCs w:val="16"/>
        </w:rPr>
        <w:t xml:space="preserve">Solid </w:t>
      </w:r>
      <w:proofErr w:type="spellStart"/>
      <w:r>
        <w:rPr>
          <w:rFonts w:ascii="Century Gothic" w:hAnsi="Century Gothic" w:cs="Century Gothic"/>
          <w:b/>
          <w:bCs/>
          <w:sz w:val="16"/>
          <w:szCs w:val="16"/>
        </w:rPr>
        <w:t>Odor</w:t>
      </w:r>
      <w:proofErr w:type="spellEnd"/>
      <w:r>
        <w:rPr>
          <w:rFonts w:ascii="Century Gothic" w:hAnsi="Century Gothic" w:cs="Century Gothic"/>
          <w:b/>
          <w:bCs/>
          <w:sz w:val="16"/>
          <w:szCs w:val="16"/>
        </w:rPr>
        <w:t xml:space="preserve">: </w:t>
      </w:r>
      <w:r>
        <w:rPr>
          <w:rFonts w:ascii="Century Gothic" w:hAnsi="Century Gothic" w:cs="Century Gothic"/>
          <w:sz w:val="16"/>
          <w:szCs w:val="16"/>
        </w:rPr>
        <w:t xml:space="preserve">Tallow </w:t>
      </w:r>
      <w:proofErr w:type="spellStart"/>
      <w:r>
        <w:rPr>
          <w:rFonts w:ascii="Century Gothic" w:hAnsi="Century Gothic" w:cs="Century Gothic"/>
          <w:sz w:val="16"/>
          <w:szCs w:val="16"/>
        </w:rPr>
        <w:t>Odor</w:t>
      </w:r>
      <w:proofErr w:type="spellEnd"/>
      <w:r>
        <w:rPr>
          <w:rFonts w:ascii="Century Gothic" w:hAnsi="Century Gothic" w:cs="Century Gothic"/>
          <w:sz w:val="16"/>
          <w:szCs w:val="16"/>
        </w:rPr>
        <w:t xml:space="preserve"> </w:t>
      </w:r>
    </w:p>
    <w:p w14:paraId="073D5B0F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b/>
          <w:bCs/>
          <w:sz w:val="16"/>
          <w:szCs w:val="16"/>
        </w:rPr>
        <w:t xml:space="preserve">Precautionary Statements – Prevention </w:t>
      </w:r>
    </w:p>
    <w:p w14:paraId="57DAF470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Obtain Special Instructions before use </w:t>
      </w:r>
    </w:p>
    <w:p w14:paraId="7A98B0ED" w14:textId="77777777" w:rsidR="001D1DC3" w:rsidRDefault="001D1DC3" w:rsidP="001D1DC3">
      <w:pPr>
        <w:pStyle w:val="Default"/>
        <w:rPr>
          <w:sz w:val="16"/>
          <w:szCs w:val="16"/>
        </w:rPr>
      </w:pPr>
      <w:r>
        <w:rPr>
          <w:rFonts w:ascii="Century Gothic" w:hAnsi="Century Gothic" w:cs="Century Gothic"/>
          <w:b/>
          <w:bCs/>
          <w:sz w:val="16"/>
          <w:szCs w:val="16"/>
        </w:rPr>
        <w:t xml:space="preserve">Other information </w:t>
      </w:r>
    </w:p>
    <w:p w14:paraId="4EC87606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May cause slight eye irritation </w:t>
      </w:r>
    </w:p>
    <w:p w14:paraId="7B649CD1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Prolonged or repeated contact may dry skin and cause irritation. </w:t>
      </w:r>
    </w:p>
    <w:p w14:paraId="5DE0F98E" w14:textId="77777777" w:rsidR="001D1DC3" w:rsidRDefault="001D1DC3" w:rsidP="001D1DC3">
      <w:pPr>
        <w:pStyle w:val="Default"/>
        <w:rPr>
          <w:sz w:val="16"/>
          <w:szCs w:val="16"/>
        </w:rPr>
      </w:pPr>
      <w:r>
        <w:rPr>
          <w:rFonts w:ascii="Century Gothic" w:hAnsi="Century Gothic" w:cs="Century Gothic"/>
          <w:b/>
          <w:bCs/>
          <w:sz w:val="16"/>
          <w:szCs w:val="16"/>
        </w:rPr>
        <w:t xml:space="preserve">Interaction with other chemicals </w:t>
      </w:r>
    </w:p>
    <w:p w14:paraId="1AD2B1B4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No information available </w:t>
      </w:r>
    </w:p>
    <w:p w14:paraId="1FF7F632" w14:textId="77777777" w:rsidR="001D1DC3" w:rsidRDefault="001D1DC3" w:rsidP="001D1DC3">
      <w:pPr>
        <w:pStyle w:val="Default"/>
        <w:rPr>
          <w:rFonts w:ascii="Century Gothic" w:hAnsi="Century Gothic" w:cs="Century Gothic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3. </w:t>
      </w:r>
      <w:r>
        <w:rPr>
          <w:rFonts w:ascii="Century Gothic" w:hAnsi="Century Gothic" w:cs="Century Gothic"/>
          <w:b/>
          <w:bCs/>
          <w:sz w:val="20"/>
          <w:szCs w:val="20"/>
        </w:rPr>
        <w:t xml:space="preserve">COMPOSITION / INFORMATION ON INGREDIENTS. </w:t>
      </w:r>
    </w:p>
    <w:p w14:paraId="2A285D8A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b/>
          <w:bCs/>
          <w:sz w:val="16"/>
          <w:szCs w:val="16"/>
        </w:rPr>
        <w:t xml:space="preserve">Red Rouge </w:t>
      </w:r>
    </w:p>
    <w:p w14:paraId="69993300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b/>
          <w:bCs/>
          <w:sz w:val="16"/>
          <w:szCs w:val="16"/>
        </w:rPr>
        <w:t xml:space="preserve">Chemical Name CAS No. % </w:t>
      </w:r>
    </w:p>
    <w:p w14:paraId="354665DC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proofErr w:type="spellStart"/>
      <w:r>
        <w:rPr>
          <w:rFonts w:ascii="Century Gothic" w:hAnsi="Century Gothic" w:cs="Century Gothic"/>
          <w:sz w:val="16"/>
          <w:szCs w:val="16"/>
        </w:rPr>
        <w:t>Aluminum</w:t>
      </w:r>
      <w:proofErr w:type="spellEnd"/>
      <w:r>
        <w:rPr>
          <w:rFonts w:ascii="Century Gothic" w:hAnsi="Century Gothic" w:cs="Century Gothic"/>
          <w:sz w:val="16"/>
          <w:szCs w:val="16"/>
        </w:rPr>
        <w:t xml:space="preserve"> Oxide 1344-28-1 68-75 </w:t>
      </w:r>
    </w:p>
    <w:p w14:paraId="68BE811C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Stearic Acid 134503-33-6 15-20 </w:t>
      </w:r>
    </w:p>
    <w:p w14:paraId="6F6C075B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Iron Oxide 1309-37-1 8-15 </w:t>
      </w:r>
    </w:p>
    <w:p w14:paraId="1E631563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Tallow 129521-65-9 5-15 </w:t>
      </w:r>
    </w:p>
    <w:p w14:paraId="5A383D06" w14:textId="77777777" w:rsidR="001D1DC3" w:rsidRDefault="001D1DC3" w:rsidP="001D1DC3">
      <w:pPr>
        <w:pStyle w:val="Default"/>
        <w:rPr>
          <w:rFonts w:ascii="Century Gothic" w:hAnsi="Century Gothic" w:cs="Century Gothic"/>
          <w:sz w:val="14"/>
          <w:szCs w:val="14"/>
        </w:rPr>
      </w:pPr>
      <w:r>
        <w:rPr>
          <w:rFonts w:ascii="Century Gothic" w:hAnsi="Century Gothic" w:cs="Century Gothic"/>
          <w:i/>
          <w:iCs/>
          <w:sz w:val="14"/>
          <w:szCs w:val="14"/>
        </w:rPr>
        <w:t xml:space="preserve">*The exact percentage (concentration) of composition has been withheld as a trade secret </w:t>
      </w:r>
    </w:p>
    <w:p w14:paraId="3A89E2A7" w14:textId="77777777" w:rsidR="001D1DC3" w:rsidRDefault="001D1DC3" w:rsidP="001D1DC3">
      <w:pPr>
        <w:pStyle w:val="Default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b/>
          <w:bCs/>
          <w:sz w:val="20"/>
          <w:szCs w:val="20"/>
        </w:rPr>
        <w:t xml:space="preserve">4. FIRST AID MEASURES </w:t>
      </w:r>
    </w:p>
    <w:p w14:paraId="737F0A17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Eye Contact: Rinse thoroughly with plenty of water, also under the eyelids. If symptoms persist, call a physician. </w:t>
      </w:r>
    </w:p>
    <w:p w14:paraId="6BB30F76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Skin Contact: Wash skin with soap and water. In the case of skin irritation or allergic reactions see a physician. </w:t>
      </w:r>
    </w:p>
    <w:p w14:paraId="4F650C7D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Inhalation: Remover to fresh air. If symptoms persist, call a physician. </w:t>
      </w:r>
    </w:p>
    <w:p w14:paraId="729D0387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Ingestion: Do NOT induce vomiting. Drink plenty of water. If symptoms persist, call a physician. </w:t>
      </w:r>
    </w:p>
    <w:p w14:paraId="0C9D565F" w14:textId="77777777" w:rsidR="001D1DC3" w:rsidRDefault="001D1DC3" w:rsidP="001D1DC3">
      <w:pPr>
        <w:pStyle w:val="Default"/>
        <w:rPr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Most important symptoms and effect, both acute and delayed </w:t>
      </w:r>
    </w:p>
    <w:p w14:paraId="0B072599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Most important symptoms and effect No information available </w:t>
      </w:r>
    </w:p>
    <w:p w14:paraId="2C3A2311" w14:textId="77777777" w:rsidR="001D1DC3" w:rsidRDefault="001D1DC3" w:rsidP="001D1DC3">
      <w:pPr>
        <w:pStyle w:val="Default"/>
        <w:rPr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Indication of any immediate medical attention and special treatment needed </w:t>
      </w:r>
    </w:p>
    <w:p w14:paraId="4D601DC3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b/>
          <w:bCs/>
          <w:sz w:val="16"/>
          <w:szCs w:val="16"/>
        </w:rPr>
        <w:t xml:space="preserve">Notes to Physician </w:t>
      </w:r>
      <w:r>
        <w:rPr>
          <w:rFonts w:ascii="Century Gothic" w:hAnsi="Century Gothic" w:cs="Century Gothic"/>
          <w:sz w:val="16"/>
          <w:szCs w:val="16"/>
        </w:rPr>
        <w:t xml:space="preserve">Treat symptomatically. </w:t>
      </w:r>
    </w:p>
    <w:p w14:paraId="7B62B2D4" w14:textId="77777777" w:rsidR="001D1DC3" w:rsidRDefault="001D1DC3" w:rsidP="001D1DC3">
      <w:pPr>
        <w:pStyle w:val="Default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b/>
          <w:bCs/>
          <w:sz w:val="20"/>
          <w:szCs w:val="20"/>
        </w:rPr>
        <w:t xml:space="preserve">5. FIRE FIGHTING MEASURES </w:t>
      </w:r>
    </w:p>
    <w:p w14:paraId="2B000EC8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Suitable Extinguishing Media </w:t>
      </w:r>
    </w:p>
    <w:p w14:paraId="3C43E486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Use extinguishing measures that are appropriate to local circumstances and the surrounding environment. </w:t>
      </w:r>
    </w:p>
    <w:p w14:paraId="13A2C8AA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Unsuitable Extinguishing Media </w:t>
      </w:r>
    </w:p>
    <w:p w14:paraId="66F8EF62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CAUTION: Use of water spray when fighting fire may be inefficient. </w:t>
      </w:r>
    </w:p>
    <w:p w14:paraId="77046355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Specific Hazards Arising from the Chemical </w:t>
      </w:r>
    </w:p>
    <w:p w14:paraId="7E63A0D2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No information available. </w:t>
      </w:r>
    </w:p>
    <w:p w14:paraId="4F1D9CB0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Hazardous Combustion Products </w:t>
      </w:r>
    </w:p>
    <w:p w14:paraId="3E10E447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Carbon oxides. </w:t>
      </w:r>
    </w:p>
    <w:p w14:paraId="2912578E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Explosion Data </w:t>
      </w:r>
    </w:p>
    <w:p w14:paraId="3FB59B4F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Sensitivity to Mechanical Impact No. </w:t>
      </w:r>
    </w:p>
    <w:p w14:paraId="3513EC6F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Sensitivity to Static Discharge No. </w:t>
      </w:r>
    </w:p>
    <w:p w14:paraId="586223C8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Protective equipment and precautions for firefighters </w:t>
      </w:r>
    </w:p>
    <w:p w14:paraId="4CEF2597" w14:textId="50E4E774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>As in any fire, wear self-contained breathing apparatus pressure-demand, MSHA/</w:t>
      </w:r>
      <w:proofErr w:type="spellStart"/>
      <w:proofErr w:type="gramStart"/>
      <w:r>
        <w:rPr>
          <w:rFonts w:ascii="Century Gothic" w:hAnsi="Century Gothic" w:cs="Century Gothic"/>
          <w:sz w:val="16"/>
          <w:szCs w:val="16"/>
        </w:rPr>
        <w:t>NIOSH</w:t>
      </w:r>
      <w:proofErr w:type="spellEnd"/>
      <w:r>
        <w:rPr>
          <w:rFonts w:ascii="Century Gothic" w:hAnsi="Century Gothic" w:cs="Century Gothic"/>
          <w:sz w:val="16"/>
          <w:szCs w:val="16"/>
        </w:rPr>
        <w:t xml:space="preserve">  full</w:t>
      </w:r>
      <w:proofErr w:type="gramEnd"/>
      <w:r>
        <w:rPr>
          <w:rFonts w:ascii="Century Gothic" w:hAnsi="Century Gothic" w:cs="Century Gothic"/>
          <w:sz w:val="16"/>
          <w:szCs w:val="16"/>
        </w:rPr>
        <w:t xml:space="preserve"> protective gear. </w:t>
      </w:r>
    </w:p>
    <w:p w14:paraId="0D81ED45" w14:textId="77777777" w:rsidR="001D1DC3" w:rsidRDefault="001D1DC3" w:rsidP="001D1DC3">
      <w:pPr>
        <w:pStyle w:val="Default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b/>
          <w:bCs/>
          <w:sz w:val="20"/>
          <w:szCs w:val="20"/>
        </w:rPr>
        <w:t xml:space="preserve">6. ACCIDENTAL RELEASE MEASURES </w:t>
      </w:r>
    </w:p>
    <w:p w14:paraId="3B6DB556" w14:textId="77777777" w:rsidR="001D1DC3" w:rsidRDefault="001D1DC3" w:rsidP="001D1DC3">
      <w:pPr>
        <w:pStyle w:val="Default"/>
        <w:rPr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Personal precautions, protective equipment and emergency procedures </w:t>
      </w:r>
    </w:p>
    <w:p w14:paraId="7AD27A55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Personal Precautions Avoid contact with eyes. </w:t>
      </w:r>
    </w:p>
    <w:p w14:paraId="77AC03C4" w14:textId="77777777" w:rsidR="001D1DC3" w:rsidRDefault="001D1DC3" w:rsidP="001D1DC3">
      <w:pPr>
        <w:pStyle w:val="Default"/>
        <w:rPr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Environmental Precautions </w:t>
      </w:r>
    </w:p>
    <w:p w14:paraId="1D195DD5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Environmental Precautions Refer to protective measures listed in Sections 7 and 8. </w:t>
      </w:r>
    </w:p>
    <w:p w14:paraId="71316FF2" w14:textId="77777777" w:rsidR="001D1DC3" w:rsidRDefault="001D1DC3" w:rsidP="001D1DC3">
      <w:pPr>
        <w:pStyle w:val="Default"/>
        <w:rPr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Methods and material for containment and cleaning up </w:t>
      </w:r>
    </w:p>
    <w:p w14:paraId="10A08044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Methods for Containment Prevent further leakage or spillage if safe to do so. </w:t>
      </w:r>
    </w:p>
    <w:p w14:paraId="66FFF084" w14:textId="10295CCD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Methods for cleaning up Pick up and transfer to properly </w:t>
      </w:r>
      <w:r>
        <w:rPr>
          <w:rFonts w:ascii="Century Gothic" w:hAnsi="Century Gothic" w:cs="Century Gothic"/>
          <w:sz w:val="16"/>
          <w:szCs w:val="16"/>
        </w:rPr>
        <w:t>labelled</w:t>
      </w:r>
      <w:r>
        <w:rPr>
          <w:rFonts w:ascii="Century Gothic" w:hAnsi="Century Gothic" w:cs="Century Gothic"/>
          <w:sz w:val="16"/>
          <w:szCs w:val="16"/>
        </w:rPr>
        <w:t xml:space="preserve"> containers. </w:t>
      </w:r>
    </w:p>
    <w:p w14:paraId="03BAE547" w14:textId="77777777" w:rsidR="001D1DC3" w:rsidRDefault="001D1DC3" w:rsidP="001D1DC3">
      <w:pPr>
        <w:pStyle w:val="Default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b/>
          <w:bCs/>
          <w:sz w:val="20"/>
          <w:szCs w:val="20"/>
        </w:rPr>
        <w:t xml:space="preserve">7. HANDLING AND STORAGE </w:t>
      </w:r>
    </w:p>
    <w:p w14:paraId="2D5EAFD6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Precautions for safe handling </w:t>
      </w:r>
    </w:p>
    <w:p w14:paraId="248C6149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Handling Handle in accordance with good industrial hygiene and safety practice. Avoid contact with eyes. </w:t>
      </w:r>
    </w:p>
    <w:p w14:paraId="387CFE5E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Conditions for safe storage, including any incompatibilities </w:t>
      </w:r>
    </w:p>
    <w:p w14:paraId="2E37359D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Storage Keep container tightly closed. </w:t>
      </w:r>
    </w:p>
    <w:p w14:paraId="17109D3B" w14:textId="77777777" w:rsidR="001D1DC3" w:rsidRDefault="001D1DC3" w:rsidP="001D1DC3">
      <w:pPr>
        <w:pStyle w:val="Default"/>
        <w:rPr>
          <w:rFonts w:ascii="Century Gothic" w:hAnsi="Century Gothic" w:cs="Century Gothic"/>
          <w:sz w:val="16"/>
          <w:szCs w:val="16"/>
        </w:rPr>
      </w:pPr>
      <w:r>
        <w:rPr>
          <w:rFonts w:ascii="Century Gothic" w:hAnsi="Century Gothic" w:cs="Century Gothic"/>
          <w:sz w:val="16"/>
          <w:szCs w:val="16"/>
        </w:rPr>
        <w:t xml:space="preserve">Incompatible Products None known based on information supplied. </w:t>
      </w:r>
    </w:p>
    <w:p w14:paraId="736CA810" w14:textId="77777777" w:rsidR="001D1DC3" w:rsidRDefault="001D1DC3" w:rsidP="001D1DC3">
      <w:pPr>
        <w:pStyle w:val="Default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b/>
          <w:bCs/>
          <w:sz w:val="20"/>
          <w:szCs w:val="20"/>
        </w:rPr>
        <w:t xml:space="preserve">8. EXPOSURE CONTROLS/PERSONAL PROTECTION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785"/>
        <w:gridCol w:w="2785"/>
        <w:gridCol w:w="4461"/>
      </w:tblGrid>
      <w:tr w:rsidR="001D1DC3" w14:paraId="3A648712" w14:textId="77777777" w:rsidTr="001D1DC3">
        <w:tblPrEx>
          <w:tblCellMar>
            <w:top w:w="0" w:type="dxa"/>
            <w:bottom w:w="0" w:type="dxa"/>
          </w:tblCellMar>
        </w:tblPrEx>
        <w:trPr>
          <w:trHeight w:val="174"/>
        </w:trPr>
        <w:tc>
          <w:tcPr>
            <w:tcW w:w="2785" w:type="dxa"/>
          </w:tcPr>
          <w:p w14:paraId="2A786088" w14:textId="77777777" w:rsidR="001D1DC3" w:rsidRDefault="001D1DC3">
            <w:pPr>
              <w:pStyle w:val="Default"/>
              <w:rPr>
                <w:sz w:val="16"/>
                <w:szCs w:val="16"/>
              </w:rPr>
            </w:pPr>
            <w:r>
              <w:rPr>
                <w:rFonts w:ascii="Century Gothic" w:hAnsi="Century Gothic" w:cs="Century Gothic"/>
                <w:b/>
                <w:bCs/>
                <w:sz w:val="16"/>
                <w:szCs w:val="16"/>
              </w:rPr>
              <w:t xml:space="preserve">Exposure Guidelines: Hazardous Component </w:t>
            </w:r>
          </w:p>
        </w:tc>
        <w:tc>
          <w:tcPr>
            <w:tcW w:w="2785" w:type="dxa"/>
          </w:tcPr>
          <w:p w14:paraId="671BF87A" w14:textId="77777777" w:rsidR="001D1DC3" w:rsidRDefault="001D1DC3">
            <w:pPr>
              <w:pStyle w:val="Default"/>
              <w:rPr>
                <w:rFonts w:ascii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 w:cs="Century Gothic"/>
                <w:b/>
                <w:bCs/>
                <w:sz w:val="16"/>
                <w:szCs w:val="16"/>
              </w:rPr>
              <w:t xml:space="preserve">OSHA </w:t>
            </w:r>
            <w:proofErr w:type="spellStart"/>
            <w:r>
              <w:rPr>
                <w:rFonts w:ascii="Century Gothic" w:hAnsi="Century Gothic" w:cs="Century Gothic"/>
                <w:b/>
                <w:bCs/>
                <w:sz w:val="16"/>
                <w:szCs w:val="16"/>
              </w:rPr>
              <w:t>PEL</w:t>
            </w:r>
            <w:proofErr w:type="spellEnd"/>
            <w:r>
              <w:rPr>
                <w:rFonts w:ascii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461" w:type="dxa"/>
          </w:tcPr>
          <w:p w14:paraId="37184D91" w14:textId="77777777" w:rsidR="001D1DC3" w:rsidRDefault="001D1DC3">
            <w:pPr>
              <w:pStyle w:val="Default"/>
              <w:rPr>
                <w:rFonts w:ascii="Century Gothic" w:hAnsi="Century Gothic" w:cs="Century Gothic"/>
                <w:sz w:val="16"/>
                <w:szCs w:val="16"/>
              </w:rPr>
            </w:pPr>
            <w:proofErr w:type="spellStart"/>
            <w:r>
              <w:rPr>
                <w:rFonts w:ascii="Century Gothic" w:hAnsi="Century Gothic" w:cs="Century Gothic"/>
                <w:b/>
                <w:bCs/>
                <w:sz w:val="16"/>
                <w:szCs w:val="16"/>
              </w:rPr>
              <w:t>ACGIH</w:t>
            </w:r>
            <w:proofErr w:type="spellEnd"/>
            <w:r>
              <w:rPr>
                <w:rFonts w:ascii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entury Gothic" w:hAnsi="Century Gothic" w:cs="Century Gothic"/>
                <w:b/>
                <w:bCs/>
                <w:sz w:val="16"/>
                <w:szCs w:val="16"/>
              </w:rPr>
              <w:t>TLV</w:t>
            </w:r>
            <w:proofErr w:type="spellEnd"/>
            <w:r>
              <w:rPr>
                <w:rFonts w:ascii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1D1DC3" w14:paraId="6F3B8CDA" w14:textId="77777777" w:rsidTr="001D1DC3">
        <w:tblPrEx>
          <w:tblCellMar>
            <w:top w:w="0" w:type="dxa"/>
            <w:bottom w:w="0" w:type="dxa"/>
          </w:tblCellMar>
        </w:tblPrEx>
        <w:trPr>
          <w:trHeight w:val="176"/>
        </w:trPr>
        <w:tc>
          <w:tcPr>
            <w:tcW w:w="2785" w:type="dxa"/>
          </w:tcPr>
          <w:p w14:paraId="3D9E9DBF" w14:textId="77777777" w:rsidR="001D1DC3" w:rsidRDefault="001D1DC3">
            <w:pPr>
              <w:pStyle w:val="Default"/>
              <w:rPr>
                <w:rFonts w:ascii="Century Gothic" w:hAnsi="Century Gothic" w:cs="Century Gothic"/>
                <w:sz w:val="16"/>
                <w:szCs w:val="16"/>
              </w:rPr>
            </w:pPr>
            <w:proofErr w:type="spellStart"/>
            <w:r>
              <w:rPr>
                <w:rFonts w:ascii="Century Gothic" w:hAnsi="Century Gothic" w:cs="Century Gothic"/>
                <w:sz w:val="16"/>
                <w:szCs w:val="16"/>
              </w:rPr>
              <w:t>Aluminum</w:t>
            </w:r>
            <w:proofErr w:type="spellEnd"/>
            <w:r>
              <w:rPr>
                <w:rFonts w:ascii="Century Gothic" w:hAnsi="Century Gothic" w:cs="Century Gothic"/>
                <w:sz w:val="16"/>
                <w:szCs w:val="16"/>
              </w:rPr>
              <w:t xml:space="preserve"> oxide </w:t>
            </w:r>
          </w:p>
        </w:tc>
        <w:tc>
          <w:tcPr>
            <w:tcW w:w="2785" w:type="dxa"/>
          </w:tcPr>
          <w:p w14:paraId="09168AEC" w14:textId="77777777" w:rsidR="001D1DC3" w:rsidRDefault="001D1DC3">
            <w:pPr>
              <w:pStyle w:val="Default"/>
              <w:rPr>
                <w:rFonts w:ascii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 w:cs="Century Gothic"/>
                <w:sz w:val="16"/>
                <w:szCs w:val="16"/>
              </w:rPr>
              <w:t xml:space="preserve">15 mg/m3 TWA (total dust) </w:t>
            </w:r>
          </w:p>
          <w:p w14:paraId="40DC2DBE" w14:textId="77777777" w:rsidR="001D1DC3" w:rsidRDefault="001D1DC3">
            <w:pPr>
              <w:pStyle w:val="Default"/>
              <w:rPr>
                <w:rFonts w:ascii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 w:cs="Century Gothic"/>
                <w:sz w:val="16"/>
                <w:szCs w:val="16"/>
              </w:rPr>
              <w:t xml:space="preserve">5 mg/m3 TWA (respirable) </w:t>
            </w:r>
          </w:p>
        </w:tc>
        <w:tc>
          <w:tcPr>
            <w:tcW w:w="4461" w:type="dxa"/>
          </w:tcPr>
          <w:p w14:paraId="59D399BB" w14:textId="77777777" w:rsidR="001D1DC3" w:rsidRDefault="001D1DC3">
            <w:pPr>
              <w:pStyle w:val="Default"/>
              <w:rPr>
                <w:rFonts w:ascii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 w:cs="Century Gothic"/>
                <w:sz w:val="16"/>
                <w:szCs w:val="16"/>
              </w:rPr>
              <w:t xml:space="preserve">1 mg/m3 TWA </w:t>
            </w:r>
          </w:p>
          <w:p w14:paraId="25BD6E41" w14:textId="77777777" w:rsidR="001D1DC3" w:rsidRDefault="001D1DC3">
            <w:pPr>
              <w:pStyle w:val="Default"/>
              <w:rPr>
                <w:rFonts w:ascii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 w:cs="Century Gothic"/>
                <w:sz w:val="16"/>
                <w:szCs w:val="16"/>
              </w:rPr>
              <w:t xml:space="preserve">(respirable) (as Al) </w:t>
            </w:r>
          </w:p>
        </w:tc>
      </w:tr>
      <w:tr w:rsidR="001D1DC3" w14:paraId="55E28F61" w14:textId="77777777" w:rsidTr="001D1DC3">
        <w:tblPrEx>
          <w:tblCellMar>
            <w:top w:w="0" w:type="dxa"/>
            <w:bottom w:w="0" w:type="dxa"/>
          </w:tblCellMar>
        </w:tblPrEx>
        <w:trPr>
          <w:trHeight w:val="77"/>
        </w:trPr>
        <w:tc>
          <w:tcPr>
            <w:tcW w:w="2785" w:type="dxa"/>
          </w:tcPr>
          <w:p w14:paraId="5A976DD9" w14:textId="77777777" w:rsidR="001D1DC3" w:rsidRDefault="001D1DC3">
            <w:pPr>
              <w:pStyle w:val="Default"/>
              <w:rPr>
                <w:rFonts w:ascii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 w:cs="Century Gothic"/>
                <w:sz w:val="16"/>
                <w:szCs w:val="16"/>
              </w:rPr>
              <w:t xml:space="preserve">Tallow </w:t>
            </w:r>
          </w:p>
        </w:tc>
        <w:tc>
          <w:tcPr>
            <w:tcW w:w="2785" w:type="dxa"/>
          </w:tcPr>
          <w:p w14:paraId="7E5DF1F9" w14:textId="77777777" w:rsidR="001D1DC3" w:rsidRDefault="001D1DC3">
            <w:pPr>
              <w:pStyle w:val="Default"/>
              <w:rPr>
                <w:sz w:val="16"/>
                <w:szCs w:val="16"/>
              </w:rPr>
            </w:pPr>
            <w:r>
              <w:rPr>
                <w:rFonts w:ascii="Century Gothic" w:hAnsi="Century Gothic" w:cs="Century Gothic"/>
                <w:sz w:val="16"/>
                <w:szCs w:val="16"/>
              </w:rPr>
              <w:t xml:space="preserve">None Established </w:t>
            </w:r>
          </w:p>
        </w:tc>
        <w:tc>
          <w:tcPr>
            <w:tcW w:w="4461" w:type="dxa"/>
          </w:tcPr>
          <w:p w14:paraId="7518DCFB" w14:textId="77777777" w:rsidR="001D1DC3" w:rsidRDefault="001D1DC3">
            <w:pPr>
              <w:pStyle w:val="Default"/>
              <w:rPr>
                <w:rFonts w:ascii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 w:cs="Century Gothic"/>
                <w:sz w:val="16"/>
                <w:szCs w:val="16"/>
              </w:rPr>
              <w:t xml:space="preserve">None Established </w:t>
            </w:r>
          </w:p>
        </w:tc>
      </w:tr>
      <w:tr w:rsidR="001D1DC3" w14:paraId="1F02AAFD" w14:textId="77777777" w:rsidTr="001D1DC3">
        <w:tblPrEx>
          <w:tblCellMar>
            <w:top w:w="0" w:type="dxa"/>
            <w:bottom w:w="0" w:type="dxa"/>
          </w:tblCellMar>
        </w:tblPrEx>
        <w:trPr>
          <w:trHeight w:val="77"/>
        </w:trPr>
        <w:tc>
          <w:tcPr>
            <w:tcW w:w="2785" w:type="dxa"/>
          </w:tcPr>
          <w:p w14:paraId="6FA3625D" w14:textId="77777777" w:rsidR="001D1DC3" w:rsidRDefault="001D1DC3">
            <w:pPr>
              <w:pStyle w:val="Default"/>
              <w:rPr>
                <w:rFonts w:ascii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 w:cs="Century Gothic"/>
                <w:sz w:val="16"/>
                <w:szCs w:val="16"/>
              </w:rPr>
              <w:t xml:space="preserve">Iron oxide </w:t>
            </w:r>
          </w:p>
        </w:tc>
        <w:tc>
          <w:tcPr>
            <w:tcW w:w="2785" w:type="dxa"/>
          </w:tcPr>
          <w:p w14:paraId="6A0179BA" w14:textId="77777777" w:rsidR="001D1DC3" w:rsidRDefault="001D1DC3">
            <w:pPr>
              <w:pStyle w:val="Default"/>
              <w:rPr>
                <w:rFonts w:ascii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 w:cs="Century Gothic"/>
                <w:sz w:val="16"/>
                <w:szCs w:val="16"/>
              </w:rPr>
              <w:t xml:space="preserve">5 mg/m3 TWA (respirable) </w:t>
            </w:r>
          </w:p>
        </w:tc>
        <w:tc>
          <w:tcPr>
            <w:tcW w:w="4461" w:type="dxa"/>
          </w:tcPr>
          <w:p w14:paraId="55A7BCCB" w14:textId="77777777" w:rsidR="001D1DC3" w:rsidRDefault="001D1DC3">
            <w:pPr>
              <w:pStyle w:val="Default"/>
              <w:rPr>
                <w:rFonts w:ascii="Century Gothic" w:hAnsi="Century Gothic" w:cs="Century Gothic"/>
                <w:sz w:val="16"/>
                <w:szCs w:val="16"/>
              </w:rPr>
            </w:pPr>
            <w:r>
              <w:rPr>
                <w:rFonts w:ascii="Century Gothic" w:hAnsi="Century Gothic" w:cs="Century Gothic"/>
                <w:sz w:val="16"/>
                <w:szCs w:val="16"/>
              </w:rPr>
              <w:t xml:space="preserve">10 mg/m3 </w:t>
            </w:r>
          </w:p>
        </w:tc>
      </w:tr>
    </w:tbl>
    <w:p w14:paraId="44666D53" w14:textId="77777777" w:rsidR="00C123D6" w:rsidRDefault="00C123D6" w:rsidP="001D1DC3">
      <w:bookmarkStart w:id="0" w:name="_GoBack"/>
      <w:bookmarkEnd w:id="0"/>
    </w:p>
    <w:sectPr w:rsidR="00C123D6" w:rsidSect="001D1D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DC3"/>
    <w:rsid w:val="001D1DC3"/>
    <w:rsid w:val="00C12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66C30"/>
  <w15:chartTrackingRefBased/>
  <w15:docId w15:val="{C66F3FA0-3B65-4759-B872-D83CABE97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D1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Tennille Hoge</dc:creator>
  <cp:keywords/>
  <dc:description/>
  <cp:lastModifiedBy>Tennille Hoge</cp:lastModifiedBy>
  <cp:revision>1</cp:revision>
  <dcterms:created xsi:type="dcterms:W3CDTF">2019-04-23T08:06:00Z</dcterms:created>
  <dcterms:modified xsi:type="dcterms:W3CDTF">2019-04-23T08:10:00Z</dcterms:modified>
</cp:coreProperties>
</file>